
<file path=[Content_Types].xml><?xml version="1.0" encoding="utf-8"?>
<Types xmlns="http://schemas.openxmlformats.org/package/2006/content-types">
  <Default Extension="xml" ContentType="application/xml"/>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ascii="方正小标宋简体" w:hAnsi="FangSong" w:eastAsia="方正小标宋简体"/>
          <w:sz w:val="44"/>
          <w:szCs w:val="44"/>
        </w:rPr>
      </w:pPr>
      <w:r>
        <w:rPr>
          <w:rFonts w:hint="eastAsia" w:ascii="方正小标宋简体" w:hAnsi="FangSong" w:eastAsia="方正小标宋简体"/>
          <w:sz w:val="44"/>
          <w:szCs w:val="44"/>
        </w:rPr>
        <w:t>河北开放大学</w:t>
      </w:r>
    </w:p>
    <w:p>
      <w:pPr>
        <w:spacing w:line="600" w:lineRule="exact"/>
        <w:jc w:val="center"/>
        <w:rPr>
          <w:rFonts w:ascii="方正小标宋简体" w:hAnsi="FangSong" w:eastAsia="方正小标宋简体"/>
          <w:sz w:val="44"/>
          <w:szCs w:val="44"/>
        </w:rPr>
      </w:pPr>
      <w:r>
        <w:rPr>
          <w:rFonts w:hint="eastAsia" w:ascii="方正小标宋简体" w:hAnsi="FangSong" w:eastAsia="方正小标宋简体"/>
          <w:sz w:val="44"/>
          <w:szCs w:val="44"/>
        </w:rPr>
        <w:t>科学研究项目选题指南（2023）</w:t>
      </w:r>
    </w:p>
    <w:p>
      <w:pPr>
        <w:ind w:firstLine="200" w:firstLineChars="200"/>
        <w:jc w:val="left"/>
        <w:rPr>
          <w:rFonts w:ascii="FangSong" w:hAnsi="FangSong" w:eastAsia="FangSong"/>
          <w:sz w:val="10"/>
          <w:szCs w:val="10"/>
        </w:rPr>
      </w:pPr>
    </w:p>
    <w:p>
      <w:pPr>
        <w:ind w:firstLine="640" w:firstLineChars="200"/>
        <w:jc w:val="left"/>
        <w:rPr>
          <w:rFonts w:ascii="FangSong_GB2312" w:hAnsi="SimHei" w:eastAsia="FangSong_GB2312"/>
          <w:sz w:val="32"/>
          <w:szCs w:val="32"/>
        </w:rPr>
      </w:pPr>
      <w:r>
        <w:rPr>
          <w:rFonts w:hint="eastAsia" w:ascii="FangSong_GB2312" w:hAnsi="SimHei" w:eastAsia="FangSong_GB2312"/>
          <w:sz w:val="32"/>
          <w:szCs w:val="32"/>
        </w:rPr>
        <w:t>为深入落实《国家开放大学综合改革方案》和《河北开放大学“十四五”发展规划》，大力推进科研聚焦、积极打造特色科研高地，特制定本指南。</w:t>
      </w:r>
      <w:bookmarkStart w:id="0" w:name="_GoBack"/>
      <w:bookmarkEnd w:id="0"/>
    </w:p>
    <w:p>
      <w:pPr>
        <w:ind w:firstLine="640" w:firstLineChars="200"/>
        <w:jc w:val="left"/>
        <w:rPr>
          <w:rFonts w:ascii="FangSong_GB2312" w:hAnsi="SimHei" w:eastAsia="FangSong_GB2312"/>
          <w:sz w:val="32"/>
          <w:szCs w:val="32"/>
        </w:rPr>
      </w:pPr>
      <w:r>
        <w:rPr>
          <w:rFonts w:hint="eastAsia" w:ascii="FangSong_GB2312" w:hAnsi="SimHei" w:eastAsia="FangSong_GB2312"/>
          <w:sz w:val="32"/>
          <w:szCs w:val="32"/>
        </w:rPr>
        <w:t>学校科学研究项目选题以促进学校转型发展为目标，突出对学校重点工作实施路径的研究，突出对开放教育和终身教育理论与实践的研究，突出对现代信息技术在教育教学中的融合应用的研究。坚持问题导向和目标导向相结合，切实解决教育教学中出现的新情况、新问题，推动学校教育事业创新发展。同时关注国家及我省教育科学与教学改革研究领域的重点方向，为申报更高层次的研究项目奠定基础。</w:t>
      </w:r>
    </w:p>
    <w:p>
      <w:pPr>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本指南仅作为研究参考方向，</w:t>
      </w:r>
      <w:r>
        <w:rPr>
          <w:rFonts w:ascii="FangSong_GB2312" w:hAnsi="FangSong" w:eastAsia="FangSong_GB2312"/>
          <w:sz w:val="32"/>
          <w:szCs w:val="32"/>
        </w:rPr>
        <w:t>在符合项目申报工作的指导思想和基本要求</w:t>
      </w:r>
      <w:r>
        <w:rPr>
          <w:rFonts w:hint="eastAsia" w:ascii="FangSong_GB2312" w:hAnsi="FangSong" w:eastAsia="FangSong_GB2312"/>
          <w:sz w:val="32"/>
          <w:szCs w:val="32"/>
        </w:rPr>
        <w:t>基础</w:t>
      </w:r>
      <w:r>
        <w:rPr>
          <w:rFonts w:ascii="FangSong_GB2312" w:hAnsi="FangSong" w:eastAsia="FangSong_GB2312"/>
          <w:sz w:val="32"/>
          <w:szCs w:val="32"/>
        </w:rPr>
        <w:t>上，项目申报人</w:t>
      </w:r>
      <w:r>
        <w:rPr>
          <w:rFonts w:hint="eastAsia" w:ascii="FangSong_GB2312" w:hAnsi="FangSong" w:eastAsia="FangSong_GB2312"/>
          <w:sz w:val="32"/>
          <w:szCs w:val="32"/>
        </w:rPr>
        <w:t>可以根据所列选题选择不同研究角度、方法和侧重点开展研究，确定</w:t>
      </w:r>
      <w:r>
        <w:rPr>
          <w:rFonts w:ascii="FangSong_GB2312" w:hAnsi="FangSong" w:eastAsia="FangSong_GB2312"/>
          <w:sz w:val="32"/>
          <w:szCs w:val="32"/>
        </w:rPr>
        <w:t>具体</w:t>
      </w:r>
      <w:r>
        <w:rPr>
          <w:rFonts w:hint="eastAsia" w:ascii="FangSong_GB2312" w:hAnsi="FangSong" w:eastAsia="FangSong_GB2312"/>
          <w:sz w:val="32"/>
          <w:szCs w:val="32"/>
        </w:rPr>
        <w:t>研究</w:t>
      </w:r>
      <w:r>
        <w:rPr>
          <w:rFonts w:ascii="FangSong_GB2312" w:hAnsi="FangSong" w:eastAsia="FangSong_GB2312"/>
          <w:sz w:val="32"/>
          <w:szCs w:val="32"/>
        </w:rPr>
        <w:t>题目</w:t>
      </w:r>
      <w:r>
        <w:rPr>
          <w:rFonts w:hint="eastAsia" w:ascii="FangSong_GB2312" w:hAnsi="FangSong" w:eastAsia="FangSong_GB2312"/>
          <w:sz w:val="32"/>
          <w:szCs w:val="32"/>
        </w:rPr>
        <w:t>，使其具有较强的针对性、可操作性和应用推广价值。标注★的为重点选题方向。</w:t>
      </w:r>
    </w:p>
    <w:p>
      <w:pPr>
        <w:adjustRightInd w:val="0"/>
        <w:snapToGrid w:val="0"/>
        <w:spacing w:line="560" w:lineRule="exact"/>
        <w:ind w:firstLine="640" w:firstLineChars="200"/>
        <w:jc w:val="left"/>
        <w:rPr>
          <w:rFonts w:ascii="SimHei" w:hAnsi="SimHei" w:eastAsia="SimHei"/>
          <w:bCs/>
          <w:sz w:val="32"/>
          <w:szCs w:val="32"/>
        </w:rPr>
      </w:pPr>
      <w:r>
        <w:rPr>
          <w:rFonts w:hint="eastAsia" w:ascii="SimHei" w:hAnsi="SimHei" w:eastAsia="SimHei"/>
          <w:bCs/>
          <w:sz w:val="32"/>
          <w:szCs w:val="32"/>
        </w:rPr>
        <w:t>一、新时代党的创新理论和思政育人工作研究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1-1.习近平关于教育的重要论述研究★</w:t>
      </w:r>
    </w:p>
    <w:p>
      <w:pPr>
        <w:adjustRightInd w:val="0"/>
        <w:snapToGrid w:val="0"/>
        <w:spacing w:line="560" w:lineRule="exact"/>
        <w:ind w:firstLine="640" w:firstLineChars="200"/>
        <w:jc w:val="left"/>
        <w:rPr>
          <w:rFonts w:ascii="FangSong_GB2312" w:hAnsi="FangSong" w:eastAsia="FangSong_GB2312" w:cs="Calibri"/>
          <w:sz w:val="32"/>
          <w:szCs w:val="32"/>
        </w:rPr>
      </w:pPr>
      <w:r>
        <w:rPr>
          <w:rFonts w:hint="eastAsia" w:ascii="FangSong_GB2312" w:hAnsi="FangSong" w:eastAsia="FangSong_GB2312"/>
          <w:sz w:val="32"/>
          <w:szCs w:val="32"/>
        </w:rPr>
        <w:t>1-2.</w:t>
      </w:r>
      <w:r>
        <w:rPr>
          <w:rFonts w:hint="eastAsia" w:ascii="FangSong_GB2312" w:hAnsi="FangSong" w:eastAsia="FangSong_GB2312" w:cs="Calibri"/>
          <w:sz w:val="32"/>
          <w:szCs w:val="32"/>
        </w:rPr>
        <w:t>新时代开放大学党建工作创新研究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1-3.中国共产党百年教育思想与成人教育发展研究</w:t>
      </w:r>
    </w:p>
    <w:p>
      <w:pPr>
        <w:adjustRightInd w:val="0"/>
        <w:snapToGrid w:val="0"/>
        <w:spacing w:line="560" w:lineRule="exact"/>
        <w:ind w:firstLine="640" w:firstLineChars="200"/>
        <w:jc w:val="left"/>
        <w:rPr>
          <w:rFonts w:ascii="FangSong_GB2312" w:hAnsi="FangSong" w:eastAsia="FangSong_GB2312" w:cs="Calibri"/>
          <w:sz w:val="32"/>
          <w:szCs w:val="32"/>
        </w:rPr>
      </w:pPr>
      <w:r>
        <w:rPr>
          <w:rFonts w:hint="eastAsia" w:ascii="FangSong_GB2312" w:hAnsi="FangSong" w:eastAsia="FangSong_GB2312" w:cs="Calibri"/>
          <w:sz w:val="32"/>
          <w:szCs w:val="32"/>
        </w:rPr>
        <w:t>1-4.高等学历继续教育专业课程思政教学资源库</w:t>
      </w:r>
      <w:r>
        <w:rPr>
          <w:rFonts w:hint="eastAsia" w:ascii="FangSong_GB2312" w:hAnsi="FangSong_GB2312" w:eastAsia="FangSong_GB2312" w:cs="Calibri"/>
          <w:sz w:val="32"/>
          <w:szCs w:val="32"/>
        </w:rPr>
        <w:t>/</w:t>
      </w:r>
      <w:r>
        <w:rPr>
          <w:rFonts w:hint="eastAsia" w:ascii="FangSong_GB2312" w:hAnsi="FangSong" w:eastAsia="FangSong_GB2312" w:cs="Calibri"/>
          <w:sz w:val="32"/>
          <w:szCs w:val="32"/>
        </w:rPr>
        <w:t>案例库共建共享研究</w:t>
      </w:r>
    </w:p>
    <w:p>
      <w:pPr>
        <w:adjustRightInd w:val="0"/>
        <w:snapToGrid w:val="0"/>
        <w:spacing w:line="560" w:lineRule="exact"/>
        <w:ind w:firstLine="640" w:firstLineChars="200"/>
        <w:jc w:val="left"/>
        <w:rPr>
          <w:rFonts w:ascii="FangSong_GB2312" w:hAnsi="FangSong" w:eastAsia="FangSong_GB2312" w:cs="Calibri"/>
          <w:sz w:val="32"/>
          <w:szCs w:val="32"/>
        </w:rPr>
      </w:pPr>
      <w:r>
        <w:rPr>
          <w:rFonts w:hint="eastAsia" w:ascii="FangSong_GB2312" w:hAnsi="FangSong" w:eastAsia="FangSong_GB2312" w:cs="Calibri"/>
          <w:sz w:val="32"/>
          <w:szCs w:val="32"/>
        </w:rPr>
        <w:t>1-5.课程思政教学质量评价研究</w:t>
      </w:r>
      <w:r>
        <w:rPr>
          <w:rFonts w:hint="eastAsia" w:ascii="FangSong_GB2312" w:hAnsi="FangSong" w:eastAsia="FangSong_GB2312"/>
          <w:sz w:val="32"/>
          <w:szCs w:val="32"/>
        </w:rPr>
        <w:t>★</w:t>
      </w:r>
    </w:p>
    <w:p>
      <w:pPr>
        <w:adjustRightInd w:val="0"/>
        <w:snapToGrid w:val="0"/>
        <w:spacing w:line="560" w:lineRule="exact"/>
        <w:ind w:firstLine="640" w:firstLineChars="200"/>
        <w:jc w:val="left"/>
        <w:rPr>
          <w:rFonts w:ascii="FangSong_GB2312" w:hAnsi="FangSong" w:eastAsia="FangSong_GB2312"/>
          <w:color w:val="70AD47" w:themeColor="accent6"/>
          <w:sz w:val="32"/>
          <w:szCs w:val="32"/>
          <w14:textFill>
            <w14:solidFill>
              <w14:schemeClr w14:val="accent6"/>
            </w14:solidFill>
          </w14:textFill>
        </w:rPr>
      </w:pPr>
      <w:r>
        <w:rPr>
          <w:rFonts w:hint="eastAsia" w:ascii="FangSong_GB2312" w:hAnsi="FangSong" w:eastAsia="FangSong_GB2312" w:cs="Calibri"/>
          <w:sz w:val="32"/>
          <w:szCs w:val="32"/>
        </w:rPr>
        <w:t>1-6.</w:t>
      </w:r>
      <w:r>
        <w:rPr>
          <w:rFonts w:hint="eastAsia" w:ascii="FangSong_GB2312" w:eastAsia="FangSong_GB2312"/>
          <w:kern w:val="0"/>
          <w:sz w:val="32"/>
          <w:szCs w:val="32"/>
        </w:rPr>
        <w:t>推进教师思政能力建设的机制研究</w:t>
      </w:r>
    </w:p>
    <w:p>
      <w:pPr>
        <w:adjustRightInd w:val="0"/>
        <w:snapToGrid w:val="0"/>
        <w:spacing w:line="560" w:lineRule="exact"/>
        <w:ind w:firstLine="640" w:firstLineChars="200"/>
        <w:jc w:val="left"/>
        <w:rPr>
          <w:rFonts w:ascii="SimHei" w:hAnsi="SimHei" w:eastAsia="SimHei"/>
          <w:bCs/>
          <w:sz w:val="32"/>
          <w:szCs w:val="32"/>
        </w:rPr>
      </w:pPr>
      <w:r>
        <w:rPr>
          <w:rFonts w:hint="eastAsia" w:ascii="SimHei" w:hAnsi="SimHei" w:eastAsia="SimHei"/>
          <w:bCs/>
          <w:sz w:val="32"/>
          <w:szCs w:val="32"/>
        </w:rPr>
        <w:t>二、教育教学研究</w:t>
      </w:r>
    </w:p>
    <w:p>
      <w:pPr>
        <w:ind w:firstLine="640" w:firstLineChars="200"/>
        <w:rPr>
          <w:rFonts w:ascii="FangSong_GB2312" w:hAnsi="FangSong" w:eastAsia="FangSong_GB2312"/>
          <w:sz w:val="32"/>
          <w:szCs w:val="32"/>
        </w:rPr>
      </w:pPr>
      <w:r>
        <w:rPr>
          <w:rFonts w:hint="eastAsia" w:ascii="FangSong_GB2312" w:hAnsi="FangSong" w:eastAsia="FangSong_GB2312"/>
          <w:sz w:val="32"/>
          <w:szCs w:val="32"/>
        </w:rPr>
        <w:t>2-1.河北开放大学人才培养模式改革</w:t>
      </w:r>
    </w:p>
    <w:p>
      <w:pPr>
        <w:ind w:firstLine="640" w:firstLineChars="200"/>
        <w:rPr>
          <w:rFonts w:ascii="FangSong_GB2312" w:hAnsi="FangSong" w:eastAsia="FangSong_GB2312"/>
          <w:sz w:val="32"/>
          <w:szCs w:val="32"/>
        </w:rPr>
      </w:pPr>
      <w:r>
        <w:rPr>
          <w:rFonts w:hint="eastAsia" w:ascii="FangSong_GB2312" w:hAnsi="FangSong" w:eastAsia="FangSong_GB2312"/>
          <w:sz w:val="32"/>
          <w:szCs w:val="32"/>
        </w:rPr>
        <w:t>2-2.成人学生学习动机和学习策略研究</w:t>
      </w:r>
    </w:p>
    <w:p>
      <w:pPr>
        <w:ind w:firstLine="640" w:firstLineChars="200"/>
        <w:rPr>
          <w:rFonts w:ascii="FangSong_GB2312" w:hAnsi="FangSong" w:eastAsia="FangSong_GB2312"/>
          <w:sz w:val="32"/>
          <w:szCs w:val="32"/>
        </w:rPr>
      </w:pPr>
      <w:r>
        <w:rPr>
          <w:rFonts w:hint="eastAsia" w:ascii="FangSong_GB2312" w:hAnsi="FangSong" w:eastAsia="FangSong_GB2312"/>
          <w:sz w:val="32"/>
          <w:szCs w:val="32"/>
        </w:rPr>
        <w:t>2-3.</w:t>
      </w:r>
      <w:r>
        <w:rPr>
          <w:rFonts w:hint="eastAsia" w:ascii="FangSong_GB2312" w:eastAsia="FangSong_GB2312"/>
          <w:kern w:val="0"/>
          <w:sz w:val="32"/>
          <w:szCs w:val="32"/>
        </w:rPr>
        <w:t>基于数据的学情诊断与教学优化策略研究</w:t>
      </w:r>
      <w:r>
        <w:rPr>
          <w:rFonts w:hint="eastAsia" w:ascii="FangSong_GB2312" w:hAnsi="FangSong" w:eastAsia="FangSong_GB2312"/>
          <w:sz w:val="32"/>
          <w:szCs w:val="32"/>
        </w:rPr>
        <w:t>★</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2-4.高等学历继续教育教学质量监控体系研究</w:t>
      </w:r>
    </w:p>
    <w:p>
      <w:pPr>
        <w:adjustRightInd w:val="0"/>
        <w:snapToGrid w:val="0"/>
        <w:spacing w:line="560" w:lineRule="exact"/>
        <w:ind w:firstLine="640" w:firstLineChars="200"/>
        <w:jc w:val="left"/>
        <w:rPr>
          <w:rStyle w:val="17"/>
          <w:rFonts w:ascii="FangSong_GB2312" w:hAnsi="Arial" w:eastAsia="FangSong_GB2312" w:cs="Arial"/>
          <w:sz w:val="32"/>
          <w:szCs w:val="32"/>
        </w:rPr>
      </w:pPr>
      <w:r>
        <w:rPr>
          <w:rFonts w:hint="eastAsia" w:ascii="FangSong_GB2312" w:hAnsi="FangSong" w:eastAsia="FangSong_GB2312"/>
          <w:sz w:val="32"/>
          <w:szCs w:val="32"/>
        </w:rPr>
        <w:t>2-5.开放大学教师信息化教学能力提升策略与实践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2-6.</w:t>
      </w:r>
      <w:r>
        <w:rPr>
          <w:rStyle w:val="17"/>
          <w:rFonts w:hint="eastAsia" w:ascii="FangSong_GB2312" w:hAnsi="Arial" w:eastAsia="FangSong_GB2312" w:cs="Arial"/>
          <w:sz w:val="32"/>
          <w:szCs w:val="32"/>
        </w:rPr>
        <w:t>创新创业教育与专业教育融合模式与路径研究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2-7.</w:t>
      </w:r>
      <w:r>
        <w:rPr>
          <w:rStyle w:val="17"/>
          <w:rFonts w:hint="eastAsia" w:ascii="FangSong_GB2312" w:hAnsi="Arial" w:eastAsia="FangSong_GB2312" w:cs="Arial"/>
          <w:sz w:val="32"/>
          <w:szCs w:val="32"/>
        </w:rPr>
        <w:t>数字化时代教师队伍建设研究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 xml:space="preserve">2-8.老年教育智慧学习研究 </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2-9.老年开放大学线上线下相融合教学设计与实践★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2-10.</w:t>
      </w:r>
      <w:r>
        <w:rPr>
          <w:rFonts w:hint="eastAsia" w:ascii="FangSong_GB2312" w:hAnsi="微软雅黑" w:eastAsia="FangSong_GB2312"/>
          <w:bCs/>
          <w:sz w:val="32"/>
          <w:szCs w:val="32"/>
        </w:rPr>
        <w:t>构建服务全民终身学习的教育评价体系</w:t>
      </w:r>
      <w:r>
        <w:rPr>
          <w:rFonts w:hint="eastAsia" w:ascii="FangSong_GB2312" w:hAnsi="FangSong" w:eastAsia="FangSong_GB2312"/>
          <w:sz w:val="32"/>
          <w:szCs w:val="32"/>
        </w:rPr>
        <w:t>研究</w:t>
      </w:r>
    </w:p>
    <w:p>
      <w:pPr>
        <w:adjustRightInd w:val="0"/>
        <w:snapToGrid w:val="0"/>
        <w:spacing w:line="560" w:lineRule="exact"/>
        <w:ind w:firstLine="640" w:firstLineChars="200"/>
        <w:jc w:val="left"/>
        <w:rPr>
          <w:rFonts w:ascii="SimHei" w:hAnsi="SimHei" w:eastAsia="SimHei"/>
          <w:bCs/>
          <w:sz w:val="32"/>
          <w:szCs w:val="32"/>
        </w:rPr>
      </w:pPr>
      <w:r>
        <w:rPr>
          <w:rFonts w:hint="eastAsia" w:ascii="SimHei" w:hAnsi="SimHei" w:eastAsia="SimHei"/>
          <w:bCs/>
          <w:sz w:val="32"/>
          <w:szCs w:val="32"/>
        </w:rPr>
        <w:t>三、信息化与资源建设研究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3-1.信息技术赋能教育教学创新研究与实践★</w:t>
      </w:r>
    </w:p>
    <w:p>
      <w:pPr>
        <w:adjustRightInd w:val="0"/>
        <w:snapToGrid w:val="0"/>
        <w:spacing w:line="560" w:lineRule="exact"/>
        <w:ind w:firstLine="640" w:firstLineChars="200"/>
        <w:jc w:val="left"/>
        <w:rPr>
          <w:rStyle w:val="17"/>
          <w:rFonts w:ascii="FangSong_GB2312" w:hAnsi="FangSong" w:eastAsia="FangSong_GB2312" w:cs="Arial"/>
          <w:sz w:val="32"/>
          <w:szCs w:val="32"/>
        </w:rPr>
      </w:pPr>
      <w:r>
        <w:rPr>
          <w:rFonts w:hint="eastAsia" w:ascii="FangSong_GB2312" w:hAnsi="FangSong" w:eastAsia="FangSong_GB2312"/>
          <w:sz w:val="32"/>
          <w:szCs w:val="32"/>
        </w:rPr>
        <w:t>3-2.</w:t>
      </w:r>
      <w:r>
        <w:rPr>
          <w:rStyle w:val="17"/>
          <w:rFonts w:hint="eastAsia" w:ascii="FangSong_GB2312" w:hAnsi="FangSong" w:eastAsia="FangSong_GB2312" w:cs="Arial"/>
          <w:sz w:val="32"/>
          <w:szCs w:val="32"/>
        </w:rPr>
        <w:t>智媒时代微课设计与开发</w:t>
      </w:r>
      <w:r>
        <w:rPr>
          <w:rFonts w:hint="eastAsia" w:ascii="FangSong_GB2312" w:hAnsi="FangSong" w:eastAsia="FangSong_GB2312"/>
          <w:sz w:val="32"/>
          <w:szCs w:val="32"/>
        </w:rPr>
        <w:t>★</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3-3.基于VR、AR的学习资源建设与应用研究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3-4.XXX专业（课程）实践教学资源建设与应用研究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3-5.河北终身学习公共服务平台运行效能分析</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3-6.河北终身学习公共服务平台/学习网数据的开发与应用★</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3-7.教育数字化背景下智慧学习社区建设研究</w:t>
      </w:r>
    </w:p>
    <w:p>
      <w:pPr>
        <w:adjustRightInd w:val="0"/>
        <w:snapToGrid w:val="0"/>
        <w:spacing w:line="560" w:lineRule="exact"/>
        <w:ind w:firstLine="640" w:firstLineChars="200"/>
        <w:jc w:val="left"/>
        <w:rPr>
          <w:rFonts w:ascii="FangSong_GB2312" w:hAnsi="FangSong" w:eastAsia="FangSong_GB2312"/>
          <w:color w:val="FF0000"/>
          <w:sz w:val="32"/>
          <w:szCs w:val="32"/>
        </w:rPr>
      </w:pPr>
      <w:r>
        <w:rPr>
          <w:rFonts w:hint="eastAsia" w:ascii="FangSong_GB2312" w:hAnsi="FangSong" w:eastAsia="FangSong_GB2312"/>
          <w:sz w:val="32"/>
          <w:szCs w:val="32"/>
        </w:rPr>
        <w:t>3-8.教育信息化背景下</w:t>
      </w:r>
      <w:r>
        <w:rPr>
          <w:rFonts w:eastAsia="FangSong_GB2312"/>
          <w:kern w:val="0"/>
          <w:sz w:val="32"/>
          <w:szCs w:val="32"/>
        </w:rPr>
        <w:t>教学管理</w:t>
      </w:r>
      <w:r>
        <w:rPr>
          <w:rFonts w:hint="eastAsia" w:eastAsia="FangSong_GB2312"/>
          <w:kern w:val="0"/>
          <w:sz w:val="32"/>
          <w:szCs w:val="32"/>
        </w:rPr>
        <w:t>流程再造以及管理模式创新</w:t>
      </w:r>
      <w:r>
        <w:rPr>
          <w:rFonts w:eastAsia="FangSong_GB2312"/>
          <w:kern w:val="0"/>
          <w:sz w:val="32"/>
          <w:szCs w:val="32"/>
        </w:rPr>
        <w:t>研究与实践</w:t>
      </w:r>
    </w:p>
    <w:p>
      <w:pPr>
        <w:adjustRightInd w:val="0"/>
        <w:snapToGrid w:val="0"/>
        <w:spacing w:line="560" w:lineRule="exact"/>
        <w:ind w:firstLine="640" w:firstLineChars="200"/>
        <w:jc w:val="left"/>
        <w:rPr>
          <w:rFonts w:ascii="SimHei" w:hAnsi="SimHei" w:eastAsia="SimHei"/>
          <w:bCs/>
          <w:sz w:val="32"/>
          <w:szCs w:val="32"/>
        </w:rPr>
      </w:pPr>
      <w:r>
        <w:rPr>
          <w:rFonts w:hint="eastAsia" w:ascii="SimHei" w:hAnsi="SimHei" w:eastAsia="SimHei"/>
          <w:bCs/>
          <w:sz w:val="32"/>
          <w:szCs w:val="32"/>
        </w:rPr>
        <w:t>四、开放大学建设研究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bCs/>
          <w:sz w:val="32"/>
          <w:szCs w:val="32"/>
        </w:rPr>
        <w:t>4-1.</w:t>
      </w:r>
      <w:r>
        <w:rPr>
          <w:rFonts w:hint="eastAsia" w:ascii="FangSong_GB2312" w:hAnsi="FangSong" w:eastAsia="FangSong_GB2312"/>
          <w:sz w:val="32"/>
          <w:szCs w:val="32"/>
        </w:rPr>
        <w:t>河北开放大学体系一体化办学模式探索研究★</w:t>
      </w:r>
    </w:p>
    <w:p>
      <w:pPr>
        <w:adjustRightInd w:val="0"/>
        <w:snapToGrid w:val="0"/>
        <w:spacing w:line="560" w:lineRule="exact"/>
        <w:ind w:firstLine="640" w:firstLineChars="200"/>
        <w:jc w:val="left"/>
        <w:rPr>
          <w:rFonts w:ascii="FangSong_GB2312" w:hAnsi="FangSong" w:eastAsia="FangSong_GB2312"/>
          <w:bCs/>
          <w:sz w:val="32"/>
          <w:szCs w:val="32"/>
        </w:rPr>
      </w:pPr>
      <w:r>
        <w:rPr>
          <w:rFonts w:hint="eastAsia" w:ascii="FangSong_GB2312" w:hAnsi="FangSong" w:eastAsia="FangSong_GB2312"/>
          <w:bCs/>
          <w:sz w:val="32"/>
          <w:szCs w:val="32"/>
        </w:rPr>
        <w:t>4-2.“事业共同体”视域下开放大学体系建设与治理机制研究</w:t>
      </w:r>
    </w:p>
    <w:p>
      <w:pPr>
        <w:adjustRightInd w:val="0"/>
        <w:snapToGrid w:val="0"/>
        <w:spacing w:line="560" w:lineRule="exact"/>
        <w:ind w:firstLine="640" w:firstLineChars="200"/>
        <w:jc w:val="left"/>
        <w:rPr>
          <w:rFonts w:ascii="FangSong_GB2312" w:hAnsi="FangSong" w:eastAsia="FangSong_GB2312"/>
          <w:bCs/>
          <w:sz w:val="32"/>
          <w:szCs w:val="32"/>
        </w:rPr>
      </w:pPr>
      <w:r>
        <w:rPr>
          <w:rFonts w:hint="eastAsia" w:ascii="FangSong_GB2312" w:hAnsi="FangSong" w:eastAsia="FangSong_GB2312"/>
          <w:bCs/>
          <w:sz w:val="32"/>
          <w:szCs w:val="32"/>
        </w:rPr>
        <w:t>4-3.开放大学服务构建终身教育体系的有效实践</w:t>
      </w:r>
    </w:p>
    <w:p>
      <w:pPr>
        <w:ind w:firstLine="640" w:firstLineChars="200"/>
        <w:rPr>
          <w:rFonts w:ascii="FangSong_GB2312" w:eastAsia="FangSong_GB2312"/>
          <w:sz w:val="32"/>
          <w:szCs w:val="32"/>
        </w:rPr>
      </w:pPr>
      <w:r>
        <w:rPr>
          <w:rFonts w:hint="eastAsia" w:ascii="FangSong_GB2312" w:hAnsi="FangSong" w:eastAsia="FangSong_GB2312"/>
          <w:bCs/>
          <w:sz w:val="32"/>
          <w:szCs w:val="32"/>
        </w:rPr>
        <w:t>4-4.</w:t>
      </w:r>
      <w:r>
        <w:rPr>
          <w:rFonts w:hint="eastAsia" w:ascii="FangSong_GB2312" w:eastAsia="FangSong_GB2312"/>
          <w:sz w:val="32"/>
          <w:szCs w:val="32"/>
        </w:rPr>
        <w:t>开放大学提升服务当地经济社会发展能力研究</w:t>
      </w:r>
    </w:p>
    <w:p>
      <w:pPr>
        <w:ind w:firstLine="640" w:firstLineChars="200"/>
        <w:rPr>
          <w:rFonts w:ascii="FangSong_GB2312" w:hAnsi="FangSong" w:eastAsia="FangSong_GB2312"/>
          <w:bCs/>
          <w:sz w:val="32"/>
          <w:szCs w:val="32"/>
        </w:rPr>
      </w:pPr>
      <w:r>
        <w:rPr>
          <w:rFonts w:hint="eastAsia" w:ascii="FangSong_GB2312" w:hAnsi="FangSong" w:eastAsia="FangSong_GB2312"/>
          <w:bCs/>
          <w:sz w:val="32"/>
          <w:szCs w:val="32"/>
        </w:rPr>
        <w:t>4-5.开放大学体系一体化办学模式下资源优化配置和共建共享研究</w:t>
      </w:r>
    </w:p>
    <w:p>
      <w:pPr>
        <w:ind w:firstLine="640" w:firstLineChars="200"/>
        <w:rPr>
          <w:rFonts w:ascii="FangSong_GB2312" w:hAnsi="FangSong" w:eastAsia="FangSong_GB2312"/>
          <w:bCs/>
          <w:sz w:val="32"/>
          <w:szCs w:val="32"/>
        </w:rPr>
      </w:pPr>
      <w:r>
        <w:rPr>
          <w:rFonts w:hint="eastAsia" w:ascii="FangSong_GB2312" w:hAnsi="FangSong" w:eastAsia="FangSong_GB2312"/>
          <w:bCs/>
          <w:sz w:val="32"/>
          <w:szCs w:val="32"/>
        </w:rPr>
        <w:t>4-6.开放大学教学名师培育体系与工作机制研究</w:t>
      </w:r>
    </w:p>
    <w:p>
      <w:pPr>
        <w:adjustRightInd w:val="0"/>
        <w:snapToGrid w:val="0"/>
        <w:spacing w:line="560" w:lineRule="exact"/>
        <w:ind w:firstLine="640" w:firstLineChars="200"/>
        <w:jc w:val="left"/>
        <w:rPr>
          <w:rFonts w:ascii="FangSong_GB2312" w:hAnsi="FangSong" w:eastAsia="FangSong_GB2312"/>
          <w:bCs/>
          <w:sz w:val="32"/>
          <w:szCs w:val="32"/>
        </w:rPr>
      </w:pPr>
      <w:r>
        <w:rPr>
          <w:rFonts w:hint="eastAsia" w:ascii="FangSong_GB2312" w:hAnsi="FangSong" w:eastAsia="FangSong_GB2312"/>
          <w:sz w:val="32"/>
          <w:szCs w:val="32"/>
        </w:rPr>
        <w:t>4-7.开放大学教育数字化转型研究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4-8.开放大学体系非学历教育项目设计与开发</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4-9.开放大学体系科研团队运行模式研究★</w:t>
      </w:r>
    </w:p>
    <w:p>
      <w:pPr>
        <w:ind w:firstLine="640" w:firstLineChars="200"/>
        <w:rPr>
          <w:rFonts w:ascii="FangSong_GB2312" w:hAnsi="FangSong" w:eastAsia="FangSong_GB2312"/>
          <w:sz w:val="32"/>
          <w:szCs w:val="32"/>
        </w:rPr>
      </w:pPr>
      <w:r>
        <w:rPr>
          <w:rFonts w:hint="eastAsia" w:ascii="FangSong_GB2312" w:hAnsi="FangSong" w:eastAsia="FangSong_GB2312"/>
          <w:sz w:val="32"/>
          <w:szCs w:val="32"/>
        </w:rPr>
        <w:t>4-10.</w:t>
      </w:r>
      <w:r>
        <w:rPr>
          <w:rFonts w:hint="eastAsia" w:ascii="FangSong_GB2312" w:eastAsia="FangSong_GB2312"/>
          <w:sz w:val="32"/>
          <w:szCs w:val="32"/>
        </w:rPr>
        <w:t>开放教育服务乡村振兴战略研究</w:t>
      </w:r>
    </w:p>
    <w:p>
      <w:pPr>
        <w:adjustRightInd w:val="0"/>
        <w:snapToGrid w:val="0"/>
        <w:spacing w:line="560" w:lineRule="exact"/>
        <w:ind w:firstLine="640" w:firstLineChars="200"/>
        <w:jc w:val="left"/>
        <w:rPr>
          <w:rFonts w:ascii="SimHei" w:hAnsi="SimHei" w:eastAsia="SimHei"/>
          <w:bCs/>
          <w:sz w:val="32"/>
          <w:szCs w:val="32"/>
        </w:rPr>
      </w:pPr>
      <w:r>
        <w:rPr>
          <w:rFonts w:hint="eastAsia" w:ascii="SimHei" w:hAnsi="SimHei" w:eastAsia="SimHei"/>
          <w:bCs/>
          <w:sz w:val="32"/>
          <w:szCs w:val="32"/>
        </w:rPr>
        <w:t>五、教学改革研究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5-1.高质量发展视域下高等学历继续教育课程教学模式改革与实践★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5-2.学校特色（重点）专业建设研究与实践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5-3.课程思政示范课（含思政课）建设研究与实践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5-4.基于“金课”标准的精品课程建设研究与实践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5-5.基于学历教育与非学历教育融通共享视角的课程资源模块化设计与开发研究★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5-6.老年教育特色专业（课程）建设研究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shd w:val="clear" w:color="auto" w:fill="FFFFFF"/>
        </w:rPr>
        <w:t>5-7.</w:t>
      </w:r>
      <w:r>
        <w:rPr>
          <w:rFonts w:hint="eastAsia" w:ascii="FangSong_GB2312" w:hAnsi="FangSong" w:eastAsia="FangSong_GB2312"/>
          <w:sz w:val="32"/>
          <w:szCs w:val="32"/>
        </w:rPr>
        <w:t>开放教育本科毕业生学位授予情况分析与对策研究</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5-8.基于职业能力培养的课程考核改革与实践</w:t>
      </w:r>
    </w:p>
    <w:p>
      <w:pPr>
        <w:adjustRightInd w:val="0"/>
        <w:snapToGrid w:val="0"/>
        <w:spacing w:line="560" w:lineRule="exact"/>
        <w:ind w:firstLine="640" w:firstLineChars="200"/>
        <w:jc w:val="left"/>
        <w:rPr>
          <w:rFonts w:ascii="FangSong_GB2312" w:hAnsi="FangSong" w:eastAsia="FangSong_GB2312"/>
          <w:sz w:val="32"/>
          <w:szCs w:val="32"/>
        </w:rPr>
      </w:pPr>
      <w:r>
        <w:rPr>
          <w:rFonts w:hint="eastAsia" w:ascii="FangSong_GB2312" w:hAnsi="FangSong" w:eastAsia="FangSong_GB2312"/>
          <w:sz w:val="32"/>
          <w:szCs w:val="32"/>
        </w:rPr>
        <w:t>5-9.推进网络教学团队跨区域学习支持服务能力提升的策略与实践</w:t>
      </w:r>
    </w:p>
    <w:p>
      <w:pPr>
        <w:adjustRightInd w:val="0"/>
        <w:snapToGrid w:val="0"/>
        <w:spacing w:line="560" w:lineRule="exact"/>
        <w:ind w:firstLine="640" w:firstLineChars="200"/>
        <w:jc w:val="left"/>
        <w:rPr>
          <w:rFonts w:ascii="FangSong_GB2312" w:hAnsi="FangSong" w:eastAsia="FangSong_GB2312"/>
          <w:bCs/>
          <w:sz w:val="32"/>
          <w:szCs w:val="32"/>
        </w:rPr>
      </w:pPr>
      <w:r>
        <w:rPr>
          <w:rFonts w:hint="eastAsia" w:ascii="FangSong_GB2312" w:hAnsi="FangSong" w:eastAsia="FangSong_GB2312"/>
          <w:bCs/>
          <w:sz w:val="32"/>
          <w:szCs w:val="32"/>
        </w:rPr>
        <w:t>5-10.特色网络教学团队建设与实践</w:t>
      </w:r>
      <w:r>
        <w:rPr>
          <w:rFonts w:hint="eastAsia" w:ascii="FangSong_GB2312" w:hAnsi="FangSong" w:eastAsia="FangSong_GB2312"/>
          <w:sz w:val="32"/>
          <w:szCs w:val="32"/>
        </w:rPr>
        <w:t>★</w:t>
      </w:r>
    </w:p>
    <w:p>
      <w:pPr>
        <w:adjustRightInd w:val="0"/>
        <w:snapToGrid w:val="0"/>
        <w:spacing w:line="560" w:lineRule="exact"/>
        <w:ind w:firstLine="640" w:firstLineChars="200"/>
        <w:jc w:val="left"/>
        <w:rPr>
          <w:rFonts w:eastAsia="FangSong_GB2312"/>
          <w:kern w:val="0"/>
          <w:sz w:val="30"/>
          <w:szCs w:val="30"/>
        </w:rPr>
      </w:pPr>
      <w:r>
        <w:rPr>
          <w:rFonts w:hint="eastAsia" w:ascii="FangSong_GB2312" w:hAnsi="FangSong" w:eastAsia="FangSong_GB2312"/>
          <w:bCs/>
          <w:sz w:val="32"/>
          <w:szCs w:val="32"/>
        </w:rPr>
        <w:t>5-11.开放大学</w:t>
      </w:r>
      <w:r>
        <w:rPr>
          <w:rFonts w:hint="eastAsia" w:ascii="FangSong_GB2312" w:eastAsia="FangSong_GB2312"/>
          <w:kern w:val="0"/>
          <w:sz w:val="32"/>
          <w:szCs w:val="32"/>
        </w:rPr>
        <w:t>教师教学能力评价办法探索与实践</w:t>
      </w:r>
    </w:p>
    <w:p>
      <w:pPr>
        <w:adjustRightInd w:val="0"/>
        <w:snapToGrid w:val="0"/>
        <w:spacing w:line="560" w:lineRule="exact"/>
        <w:ind w:firstLine="640" w:firstLineChars="200"/>
        <w:jc w:val="left"/>
        <w:rPr>
          <w:rFonts w:ascii="FangSong_GB2312" w:hAnsi="FangSong" w:eastAsia="FangSong_GB2312"/>
          <w:bCs/>
          <w:sz w:val="32"/>
          <w:szCs w:val="32"/>
        </w:rPr>
      </w:pPr>
      <w:r>
        <w:rPr>
          <w:rFonts w:hint="eastAsia" w:ascii="FangSong_GB2312" w:hAnsi="FangSong" w:eastAsia="FangSong_GB2312"/>
          <w:bCs/>
          <w:sz w:val="32"/>
          <w:szCs w:val="32"/>
        </w:rPr>
        <w:t>5</w:t>
      </w:r>
      <w:r>
        <w:rPr>
          <w:rFonts w:ascii="FangSong_GB2312" w:hAnsi="FangSong" w:eastAsia="FangSong_GB2312"/>
          <w:bCs/>
          <w:sz w:val="32"/>
          <w:szCs w:val="32"/>
        </w:rPr>
        <w:t>-12.</w:t>
      </w:r>
      <w:r>
        <w:rPr>
          <w:rFonts w:hint="eastAsia" w:ascii="FangSong_GB2312" w:hAnsi="FangSong" w:eastAsia="FangSong_GB2312"/>
          <w:bCs/>
          <w:sz w:val="32"/>
          <w:szCs w:val="32"/>
        </w:rPr>
        <w:t>智慧教学赋能专业课程教学改革与实践</w:t>
      </w:r>
    </w:p>
    <w:sectPr>
      <w:footerReference r:id="rId3" w:type="default"/>
      <w:pgSz w:w="11906" w:h="16838"/>
      <w:pgMar w:top="1440" w:right="1800" w:bottom="1440" w:left="180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4462ED67-EBC6-DE95-FAD1-BB63D7492517}"/>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embedRegular r:id="rId2" w:fontKey="{DEE64B1E-B6F9-C7C2-FAD1-BB633682545E}"/>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3" w:fontKey="{D0570116-41AF-912E-FAD1-BB63C8ED26BE}"/>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 w:name="等线">
    <w:altName w:val="汉仪中等线KW"/>
    <w:panose1 w:val="00000000000000000000"/>
    <w:charset w:val="86"/>
    <w:family w:val="auto"/>
    <w:pitch w:val="default"/>
    <w:sig w:usb0="00000000" w:usb1="00000000" w:usb2="00000000" w:usb3="00000000" w:csb0="00000000" w:csb1="00000000"/>
  </w:font>
  <w:font w:name="汉仪中等线KW">
    <w:panose1 w:val="01010104010101010101"/>
    <w:charset w:val="86"/>
    <w:family w:val="auto"/>
    <w:pitch w:val="default"/>
    <w:sig w:usb0="00000000" w:usb1="00000000" w:usb2="00000000" w:usb3="00000000" w:csb0="00160000"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FangSong">
    <w:altName w:val="方正仿宋_GBK"/>
    <w:panose1 w:val="00000000000000000000"/>
    <w:charset w:val="86"/>
    <w:family w:val="modern"/>
    <w:pitch w:val="default"/>
    <w:sig w:usb0="00000000" w:usb1="00000000" w:usb2="00000000" w:usb3="00000000" w:csb0="00000000" w:csb1="00000000"/>
  </w:font>
  <w:font w:name="方正仿宋_GBK">
    <w:panose1 w:val="02000000000000000000"/>
    <w:charset w:val="86"/>
    <w:family w:val="auto"/>
    <w:pitch w:val="default"/>
    <w:sig w:usb0="00000000" w:usb1="00000000" w:usb2="00000000" w:usb3="00000000" w:csb0="00160000" w:csb1="00000000"/>
  </w:font>
  <w:font w:name="方正小标宋简体">
    <w:panose1 w:val="02000000000000000000"/>
    <w:charset w:val="86"/>
    <w:family w:val="script"/>
    <w:pitch w:val="default"/>
    <w:sig w:usb0="00000000" w:usb1="00000000" w:usb2="00000000" w:usb3="00000000" w:csb0="00060000" w:csb1="00000000"/>
    <w:embedRegular r:id="rId4" w:fontKey="{42BABC01-2108-161A-FAD1-BB6365627415}"/>
  </w:font>
  <w:font w:name="FangSong_GB2312">
    <w:altName w:val="方正仿宋_GBK"/>
    <w:panose1 w:val="02010609060101010101"/>
    <w:charset w:val="86"/>
    <w:family w:val="modern"/>
    <w:pitch w:val="default"/>
    <w:sig w:usb0="00000000" w:usb1="00000000" w:usb2="00000016" w:usb3="00000000" w:csb0="00040001" w:csb1="00000000"/>
  </w:font>
  <w:font w:name="SimHei">
    <w:altName w:val="汉仪中黑KW"/>
    <w:panose1 w:val="00000000000000000000"/>
    <w:charset w:val="86"/>
    <w:family w:val="modern"/>
    <w:pitch w:val="default"/>
    <w:sig w:usb0="00000000" w:usb1="00000000" w:usb2="00000000" w:usb3="00000000" w:csb0="00000000" w:csb1="00000000"/>
  </w:font>
  <w:font w:name="汉仪中黑KW">
    <w:panose1 w:val="00020600040101010101"/>
    <w:charset w:val="86"/>
    <w:family w:val="auto"/>
    <w:pitch w:val="default"/>
    <w:sig w:usb0="00000000" w:usb1="00000000" w:usb2="00000000" w:usb3="00000000" w:csb0="00160000" w:csb1="00000000"/>
  </w:font>
  <w:font w:name="微软雅黑">
    <w:altName w:val="汉仪旗黑"/>
    <w:panose1 w:val="020B0503020204020204"/>
    <w:charset w:val="86"/>
    <w:family w:val="swiss"/>
    <w:pitch w:val="default"/>
    <w:sig w:usb0="00000000" w:usb1="00000000" w:usb2="00000016" w:usb3="00000000" w:csb0="0004001F" w:csb1="00000000"/>
  </w:font>
  <w:font w:name="汉仪旗黑">
    <w:panose1 w:val="00020600040101010101"/>
    <w:charset w:val="86"/>
    <w:family w:val="auto"/>
    <w:pitch w:val="default"/>
    <w:sig w:usb0="00000000" w:usb1="00000000" w:usb2="00000000" w:usb3="00000000" w:csb0="00060000" w:csb1="00000000"/>
  </w:font>
  <w:font w:name="Kingsoft Sign">
    <w:panose1 w:val="05050102010706020507"/>
    <w:charset w:val="00"/>
    <w:family w:val="auto"/>
    <w:pitch w:val="default"/>
    <w:sig w:usb0="00000000" w:usb1="00000000" w:usb2="00000000" w:usb3="00000000" w:csb0="00000000" w:csb1="00000000"/>
  </w:font>
  <w:font w:name="Noto Sans Zawgyi Regular">
    <w:panose1 w:val="020B0502040504020204"/>
    <w:charset w:val="00"/>
    <w:family w:val="auto"/>
    <w:pitch w:val="default"/>
    <w:sig w:usb0="00000000" w:usb1="00000000" w:usb2="00000000" w:usb3="00000000" w:csb0="00000000" w:csb1="00000000"/>
  </w:font>
  <w:font w:name="宋体-简">
    <w:panose1 w:val="02010600040101010101"/>
    <w:charset w:val="86"/>
    <w:family w:val="auto"/>
    <w:pitch w:val="default"/>
    <w:sig w:usb0="00000000" w:usb1="00000000" w:usb2="00000000" w:usb3="00000000" w:csb0="00160000" w:csb1="00000000"/>
  </w:font>
  <w:font w:name="Oriya Sangam MN Regular">
    <w:panose1 w:val="00000500000000000000"/>
    <w:charset w:val="00"/>
    <w:family w:val="auto"/>
    <w:pitch w:val="default"/>
    <w:sig w:usb0="00000000" w:usb1="00000000" w:usb2="00000000" w:usb3="00000000" w:csb0="00000000" w:csb1="00000000"/>
  </w:font>
  <w:font w:name="Party LET">
    <w:panose1 w:val="00000000000000000000"/>
    <w:charset w:val="00"/>
    <w:family w:val="auto"/>
    <w:pitch w:val="default"/>
    <w:sig w:usb0="00000000" w:usb1="00000000" w:usb2="00000000" w:usb3="00000000" w:csb0="00000000" w:csb1="00000000"/>
  </w:font>
  <w:font w:name="仿宋_GB2312">
    <w:altName w:val="方正仿宋_GBK"/>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5"/>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">
              <v:fill on="f" focussize="0,0"/>
              <v:stroke on="f" weight="0.5pt"/>
              <v:imagedata o:title=""/>
              <o:lock v:ext="edit" aspectratio="f"/>
              <v:textbox inset="0mm,0mm,0mm,0mm" style="mso-fit-shape-to-text:t;">
                <w:txbxContent>
                  <w:p>
                    <w:pPr>
                      <w:pStyle w:val="5"/>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UzYmFjYjAyMmQ2NGFlY2JlZTE3ZDBhZmEyZTJkZTgifQ=="/>
  </w:docVars>
  <w:rsids>
    <w:rsidRoot w:val="00F54A4D"/>
    <w:rsid w:val="00014C15"/>
    <w:rsid w:val="000513CF"/>
    <w:rsid w:val="0005701D"/>
    <w:rsid w:val="00077A5D"/>
    <w:rsid w:val="000A06E0"/>
    <w:rsid w:val="000A5D07"/>
    <w:rsid w:val="000B46FC"/>
    <w:rsid w:val="000D6ABD"/>
    <w:rsid w:val="000E0C8F"/>
    <w:rsid w:val="001068BF"/>
    <w:rsid w:val="00110969"/>
    <w:rsid w:val="00110E2B"/>
    <w:rsid w:val="001110E0"/>
    <w:rsid w:val="00113F59"/>
    <w:rsid w:val="001143A4"/>
    <w:rsid w:val="0011776B"/>
    <w:rsid w:val="00123F58"/>
    <w:rsid w:val="001253B5"/>
    <w:rsid w:val="00141273"/>
    <w:rsid w:val="00141CFB"/>
    <w:rsid w:val="0015436F"/>
    <w:rsid w:val="00177774"/>
    <w:rsid w:val="00192EB7"/>
    <w:rsid w:val="001A36BD"/>
    <w:rsid w:val="001B593E"/>
    <w:rsid w:val="001D0477"/>
    <w:rsid w:val="001D4281"/>
    <w:rsid w:val="001E4749"/>
    <w:rsid w:val="001E693F"/>
    <w:rsid w:val="00217809"/>
    <w:rsid w:val="0026695B"/>
    <w:rsid w:val="00284A67"/>
    <w:rsid w:val="00285B49"/>
    <w:rsid w:val="002A555B"/>
    <w:rsid w:val="002B1733"/>
    <w:rsid w:val="002D4195"/>
    <w:rsid w:val="002D4861"/>
    <w:rsid w:val="002E7149"/>
    <w:rsid w:val="003167C5"/>
    <w:rsid w:val="00331060"/>
    <w:rsid w:val="00366F61"/>
    <w:rsid w:val="003765D6"/>
    <w:rsid w:val="00385001"/>
    <w:rsid w:val="003B77FF"/>
    <w:rsid w:val="003E0C95"/>
    <w:rsid w:val="004052AA"/>
    <w:rsid w:val="0041390A"/>
    <w:rsid w:val="00413ECB"/>
    <w:rsid w:val="0042349A"/>
    <w:rsid w:val="00425E28"/>
    <w:rsid w:val="004320EA"/>
    <w:rsid w:val="00435F01"/>
    <w:rsid w:val="00480A08"/>
    <w:rsid w:val="00487156"/>
    <w:rsid w:val="004B05B4"/>
    <w:rsid w:val="004B078A"/>
    <w:rsid w:val="004B3DF0"/>
    <w:rsid w:val="004C7FD5"/>
    <w:rsid w:val="004D1BEC"/>
    <w:rsid w:val="004D28BC"/>
    <w:rsid w:val="004E735F"/>
    <w:rsid w:val="004F361A"/>
    <w:rsid w:val="005021BC"/>
    <w:rsid w:val="0052662D"/>
    <w:rsid w:val="005428D7"/>
    <w:rsid w:val="00576C08"/>
    <w:rsid w:val="0058544A"/>
    <w:rsid w:val="005960C5"/>
    <w:rsid w:val="005C141C"/>
    <w:rsid w:val="005C22EB"/>
    <w:rsid w:val="005C4891"/>
    <w:rsid w:val="005D4EEC"/>
    <w:rsid w:val="005E3844"/>
    <w:rsid w:val="005F10F2"/>
    <w:rsid w:val="005F76DC"/>
    <w:rsid w:val="00622AB1"/>
    <w:rsid w:val="00651C24"/>
    <w:rsid w:val="00667FC9"/>
    <w:rsid w:val="0068374D"/>
    <w:rsid w:val="00683F0A"/>
    <w:rsid w:val="00687683"/>
    <w:rsid w:val="0069305D"/>
    <w:rsid w:val="006946B2"/>
    <w:rsid w:val="006A48CD"/>
    <w:rsid w:val="006B5CE4"/>
    <w:rsid w:val="006C2F49"/>
    <w:rsid w:val="006D5EE8"/>
    <w:rsid w:val="006F473A"/>
    <w:rsid w:val="007763EF"/>
    <w:rsid w:val="00790030"/>
    <w:rsid w:val="0079046D"/>
    <w:rsid w:val="007C1818"/>
    <w:rsid w:val="007E456F"/>
    <w:rsid w:val="0082068F"/>
    <w:rsid w:val="008241E1"/>
    <w:rsid w:val="00825788"/>
    <w:rsid w:val="008302C3"/>
    <w:rsid w:val="00834C7F"/>
    <w:rsid w:val="00837722"/>
    <w:rsid w:val="00842D21"/>
    <w:rsid w:val="00847DE6"/>
    <w:rsid w:val="00850352"/>
    <w:rsid w:val="0085453F"/>
    <w:rsid w:val="008640F3"/>
    <w:rsid w:val="0087573A"/>
    <w:rsid w:val="008830F0"/>
    <w:rsid w:val="00883941"/>
    <w:rsid w:val="008A747C"/>
    <w:rsid w:val="008B6996"/>
    <w:rsid w:val="008D3228"/>
    <w:rsid w:val="008E0BAB"/>
    <w:rsid w:val="008E1083"/>
    <w:rsid w:val="008F38C3"/>
    <w:rsid w:val="009179DB"/>
    <w:rsid w:val="00922242"/>
    <w:rsid w:val="00936B60"/>
    <w:rsid w:val="00940C33"/>
    <w:rsid w:val="009607EB"/>
    <w:rsid w:val="009616E3"/>
    <w:rsid w:val="0096474D"/>
    <w:rsid w:val="009A19E9"/>
    <w:rsid w:val="009B6C56"/>
    <w:rsid w:val="009E5D03"/>
    <w:rsid w:val="009F1159"/>
    <w:rsid w:val="009F3682"/>
    <w:rsid w:val="009F7C6A"/>
    <w:rsid w:val="00A01609"/>
    <w:rsid w:val="00A4528A"/>
    <w:rsid w:val="00A47003"/>
    <w:rsid w:val="00A518FF"/>
    <w:rsid w:val="00A637FB"/>
    <w:rsid w:val="00A647A6"/>
    <w:rsid w:val="00A74E22"/>
    <w:rsid w:val="00A83AA2"/>
    <w:rsid w:val="00A92804"/>
    <w:rsid w:val="00AA23A7"/>
    <w:rsid w:val="00AA4B90"/>
    <w:rsid w:val="00AB27C5"/>
    <w:rsid w:val="00AB751B"/>
    <w:rsid w:val="00AC2166"/>
    <w:rsid w:val="00AD751C"/>
    <w:rsid w:val="00B13CA3"/>
    <w:rsid w:val="00B426AD"/>
    <w:rsid w:val="00B52926"/>
    <w:rsid w:val="00B844B8"/>
    <w:rsid w:val="00B91042"/>
    <w:rsid w:val="00B94493"/>
    <w:rsid w:val="00BB03DD"/>
    <w:rsid w:val="00BB1DEE"/>
    <w:rsid w:val="00BB29C0"/>
    <w:rsid w:val="00BD6354"/>
    <w:rsid w:val="00BE5A07"/>
    <w:rsid w:val="00C15327"/>
    <w:rsid w:val="00C20734"/>
    <w:rsid w:val="00C60E3A"/>
    <w:rsid w:val="00C82EBC"/>
    <w:rsid w:val="00C91374"/>
    <w:rsid w:val="00CA1803"/>
    <w:rsid w:val="00CB1B72"/>
    <w:rsid w:val="00CB3613"/>
    <w:rsid w:val="00CC0D23"/>
    <w:rsid w:val="00CC6AB6"/>
    <w:rsid w:val="00CC6CF8"/>
    <w:rsid w:val="00CC704E"/>
    <w:rsid w:val="00CD25A0"/>
    <w:rsid w:val="00CE6E64"/>
    <w:rsid w:val="00CF5B3C"/>
    <w:rsid w:val="00D04D12"/>
    <w:rsid w:val="00D12131"/>
    <w:rsid w:val="00D45164"/>
    <w:rsid w:val="00D551D6"/>
    <w:rsid w:val="00D61E08"/>
    <w:rsid w:val="00D913C5"/>
    <w:rsid w:val="00D91518"/>
    <w:rsid w:val="00DA5DFA"/>
    <w:rsid w:val="00DA7849"/>
    <w:rsid w:val="00DD301E"/>
    <w:rsid w:val="00DD4ECB"/>
    <w:rsid w:val="00DD6F7B"/>
    <w:rsid w:val="00DE1A36"/>
    <w:rsid w:val="00E1033F"/>
    <w:rsid w:val="00E260E1"/>
    <w:rsid w:val="00E31ACB"/>
    <w:rsid w:val="00E33163"/>
    <w:rsid w:val="00E443A4"/>
    <w:rsid w:val="00E61BC4"/>
    <w:rsid w:val="00E81D58"/>
    <w:rsid w:val="00E83592"/>
    <w:rsid w:val="00E83B30"/>
    <w:rsid w:val="00EA1E40"/>
    <w:rsid w:val="00EA62B7"/>
    <w:rsid w:val="00EC211B"/>
    <w:rsid w:val="00ED7666"/>
    <w:rsid w:val="00EE204F"/>
    <w:rsid w:val="00EF2224"/>
    <w:rsid w:val="00EF34F1"/>
    <w:rsid w:val="00F07488"/>
    <w:rsid w:val="00F32D68"/>
    <w:rsid w:val="00F53AD3"/>
    <w:rsid w:val="00F54A4D"/>
    <w:rsid w:val="00F55491"/>
    <w:rsid w:val="00F55AA2"/>
    <w:rsid w:val="00FE4C42"/>
    <w:rsid w:val="04F76DD4"/>
    <w:rsid w:val="0A977CEC"/>
    <w:rsid w:val="0B6C1441"/>
    <w:rsid w:val="0B896BF3"/>
    <w:rsid w:val="0DA90E87"/>
    <w:rsid w:val="0F636DB8"/>
    <w:rsid w:val="1DFF4C60"/>
    <w:rsid w:val="37B12C17"/>
    <w:rsid w:val="443773EC"/>
    <w:rsid w:val="6C97799E"/>
    <w:rsid w:val="76C43A85"/>
    <w:rsid w:val="786163DC"/>
    <w:rsid w:val="78885F37"/>
    <w:rsid w:val="7EF55075"/>
    <w:rsid w:val="7F5749C5"/>
    <w:rsid w:val="BF3D59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3"/>
    <w:qFormat/>
    <w:uiPriority w:val="9"/>
    <w:pPr>
      <w:widowControl/>
      <w:spacing w:before="100" w:beforeAutospacing="1" w:after="100" w:afterAutospacing="1"/>
      <w:jc w:val="left"/>
      <w:outlineLvl w:val="0"/>
    </w:pPr>
    <w:rPr>
      <w:rFonts w:ascii="宋体" w:hAnsi="宋体" w:cs="宋体"/>
      <w:b/>
      <w:bCs/>
      <w:kern w:val="36"/>
      <w:sz w:val="48"/>
      <w:szCs w:val="48"/>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3">
    <w:name w:val="Body Text"/>
    <w:basedOn w:val="1"/>
    <w:link w:val="18"/>
    <w:qFormat/>
    <w:uiPriority w:val="1"/>
    <w:pPr>
      <w:spacing w:before="121"/>
      <w:ind w:left="1078" w:hanging="418"/>
    </w:pPr>
    <w:rPr>
      <w:rFonts w:ascii="宋体" w:hAnsi="宋体" w:cs="宋体"/>
      <w:sz w:val="28"/>
      <w:szCs w:val="28"/>
      <w:lang w:val="zh-CN" w:bidi="zh-CN"/>
    </w:rPr>
  </w:style>
  <w:style w:type="paragraph" w:styleId="4">
    <w:name w:val="Balloon Text"/>
    <w:basedOn w:val="1"/>
    <w:link w:val="11"/>
    <w:semiHidden/>
    <w:unhideWhenUsed/>
    <w:qFormat/>
    <w:uiPriority w:val="99"/>
    <w:rPr>
      <w:sz w:val="18"/>
      <w:szCs w:val="18"/>
    </w:rPr>
  </w:style>
  <w:style w:type="paragraph" w:styleId="5">
    <w:name w:val="footer"/>
    <w:basedOn w:val="1"/>
    <w:link w:val="15"/>
    <w:unhideWhenUsed/>
    <w:qFormat/>
    <w:uiPriority w:val="99"/>
    <w:pPr>
      <w:tabs>
        <w:tab w:val="center" w:pos="4153"/>
        <w:tab w:val="right" w:pos="8306"/>
      </w:tabs>
      <w:snapToGrid w:val="0"/>
      <w:jc w:val="left"/>
    </w:pPr>
    <w:rPr>
      <w:sz w:val="18"/>
      <w:szCs w:val="18"/>
    </w:rPr>
  </w:style>
  <w:style w:type="paragraph" w:styleId="6">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10">
    <w:name w:val="Strong"/>
    <w:basedOn w:val="9"/>
    <w:qFormat/>
    <w:uiPriority w:val="22"/>
    <w:rPr>
      <w:b/>
      <w:bCs/>
    </w:rPr>
  </w:style>
  <w:style w:type="character" w:customStyle="1" w:styleId="11">
    <w:name w:val="批注框文本 字符"/>
    <w:basedOn w:val="9"/>
    <w:link w:val="4"/>
    <w:semiHidden/>
    <w:qFormat/>
    <w:uiPriority w:val="99"/>
    <w:rPr>
      <w:rFonts w:ascii="Times New Roman" w:hAnsi="Times New Roman" w:eastAsia="宋体" w:cs="Times New Roman"/>
      <w:sz w:val="18"/>
      <w:szCs w:val="18"/>
    </w:rPr>
  </w:style>
  <w:style w:type="paragraph" w:customStyle="1" w:styleId="12">
    <w:name w:val="Default"/>
    <w:qFormat/>
    <w:uiPriority w:val="0"/>
    <w:pPr>
      <w:widowControl w:val="0"/>
      <w:autoSpaceDE w:val="0"/>
      <w:autoSpaceDN w:val="0"/>
      <w:adjustRightInd w:val="0"/>
    </w:pPr>
    <w:rPr>
      <w:rFonts w:ascii="FangSong" w:hAnsi="FangSong" w:cs="FangSong" w:eastAsiaTheme="minorEastAsia"/>
      <w:color w:val="000000"/>
      <w:sz w:val="24"/>
      <w:szCs w:val="24"/>
      <w:lang w:val="en-US" w:eastAsia="zh-CN" w:bidi="ar-SA"/>
    </w:rPr>
  </w:style>
  <w:style w:type="character" w:customStyle="1" w:styleId="13">
    <w:name w:val="标题 1 字符"/>
    <w:basedOn w:val="9"/>
    <w:link w:val="2"/>
    <w:qFormat/>
    <w:uiPriority w:val="9"/>
    <w:rPr>
      <w:rFonts w:ascii="宋体" w:hAnsi="宋体" w:eastAsia="宋体" w:cs="宋体"/>
      <w:b/>
      <w:bCs/>
      <w:kern w:val="36"/>
      <w:sz w:val="48"/>
      <w:szCs w:val="48"/>
    </w:rPr>
  </w:style>
  <w:style w:type="character" w:customStyle="1" w:styleId="14">
    <w:name w:val="页眉 字符"/>
    <w:basedOn w:val="9"/>
    <w:link w:val="6"/>
    <w:qFormat/>
    <w:uiPriority w:val="99"/>
    <w:rPr>
      <w:rFonts w:ascii="Times New Roman" w:hAnsi="Times New Roman" w:eastAsia="宋体" w:cs="Times New Roman"/>
      <w:sz w:val="18"/>
      <w:szCs w:val="18"/>
    </w:rPr>
  </w:style>
  <w:style w:type="character" w:customStyle="1" w:styleId="15">
    <w:name w:val="页脚 字符"/>
    <w:basedOn w:val="9"/>
    <w:link w:val="5"/>
    <w:qFormat/>
    <w:uiPriority w:val="99"/>
    <w:rPr>
      <w:rFonts w:ascii="Times New Roman" w:hAnsi="Times New Roman" w:eastAsia="宋体" w:cs="Times New Roman"/>
      <w:sz w:val="18"/>
      <w:szCs w:val="18"/>
    </w:rPr>
  </w:style>
  <w:style w:type="paragraph" w:styleId="16">
    <w:name w:val="List Paragraph"/>
    <w:basedOn w:val="1"/>
    <w:qFormat/>
    <w:uiPriority w:val="34"/>
    <w:pPr>
      <w:ind w:firstLine="420" w:firstLineChars="200"/>
    </w:pPr>
    <w:rPr>
      <w:rFonts w:ascii="Calibri" w:hAnsi="Calibri"/>
      <w:szCs w:val="22"/>
    </w:rPr>
  </w:style>
  <w:style w:type="character" w:customStyle="1" w:styleId="17">
    <w:name w:val="markedcontent"/>
    <w:basedOn w:val="9"/>
    <w:qFormat/>
    <w:uiPriority w:val="0"/>
  </w:style>
  <w:style w:type="character" w:customStyle="1" w:styleId="18">
    <w:name w:val="正文文本 字符"/>
    <w:basedOn w:val="9"/>
    <w:link w:val="3"/>
    <w:qFormat/>
    <w:uiPriority w:val="1"/>
    <w:rPr>
      <w:rFonts w:ascii="宋体" w:hAnsi="宋体" w:eastAsia="宋体" w:cs="宋体"/>
      <w:kern w:val="2"/>
      <w:sz w:val="28"/>
      <w:szCs w:val="28"/>
      <w:lang w:val="zh-CN" w:bidi="zh-CN"/>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4</Pages>
  <Words>233</Words>
  <Characters>1331</Characters>
  <Lines>11</Lines>
  <Paragraphs>3</Paragraphs>
  <TotalTime>17</TotalTime>
  <ScaleCrop>false</ScaleCrop>
  <LinksUpToDate>false</LinksUpToDate>
  <CharactersWithSpaces>1561</CharactersWithSpaces>
  <Application>WPS Office_5.1.1.7676_F1E327BC-269C-435d-A152-05C5408002CA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2023-01-09T01:09:00Z</dcterms:created>
  <dc:creator>zhao yakun</dc:creator>
  <cp:lastModifiedBy>赵</cp:lastModifiedBy>
  <cp:lastPrinted>2022-04-01T01:19:00Z</cp:lastPrinted>
  <dcterms:modified xsi:type="dcterms:W3CDTF">2023-01-09T16:36:10Z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2052-5.1.1.7676</vt:lpwstr>
  </property>
  <property fmtid="{D5CDD505-2E9C-101B-9397-08002B2CF9AE}" pid="3" name="ICV">
    <vt:lpwstr>E847DCBEDAEA76BC788FBA6338382705</vt:lpwstr>
  </property>
</Properties>
</file>